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1C8A9" w14:textId="77777777" w:rsidR="001876F0" w:rsidRDefault="00D50686">
      <w:pPr>
        <w:spacing w:after="0" w:line="240" w:lineRule="auto"/>
        <w:jc w:val="center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Информация о качестве услуг по передаче</w:t>
      </w:r>
    </w:p>
    <w:p w14:paraId="69DBDB60" w14:textId="77777777" w:rsidR="001876F0" w:rsidRDefault="00D50686">
      <w:pPr>
        <w:spacing w:after="0" w:line="240" w:lineRule="auto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электрической энергии</w:t>
      </w:r>
    </w:p>
    <w:p w14:paraId="327BE5DD" w14:textId="77777777" w:rsidR="001876F0" w:rsidRDefault="001876F0">
      <w:pPr>
        <w:spacing w:after="0" w:line="240" w:lineRule="auto"/>
        <w:jc w:val="both"/>
        <w:rPr>
          <w:rFonts w:ascii="Arial" w:hAnsi="Arial"/>
          <w:sz w:val="20"/>
        </w:rPr>
      </w:pPr>
    </w:p>
    <w:p w14:paraId="562E3004" w14:textId="77777777" w:rsidR="001876F0" w:rsidRDefault="00D50686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p w14:paraId="44F4F666" w14:textId="77777777" w:rsidR="001876F0" w:rsidRDefault="001876F0">
      <w:pPr>
        <w:spacing w:after="0" w:line="240" w:lineRule="auto"/>
        <w:jc w:val="both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5723"/>
        <w:gridCol w:w="1107"/>
        <w:gridCol w:w="1120"/>
        <w:gridCol w:w="1240"/>
      </w:tblGrid>
      <w:tr w:rsidR="001876F0" w14:paraId="24CB9306" w14:textId="77777777"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9D84F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</w:t>
            </w:r>
          </w:p>
        </w:tc>
        <w:tc>
          <w:tcPr>
            <w:tcW w:w="5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01DBE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</w:t>
            </w:r>
          </w:p>
        </w:tc>
        <w:tc>
          <w:tcPr>
            <w:tcW w:w="3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5D27C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Значение показателя, годы</w:t>
            </w:r>
          </w:p>
        </w:tc>
      </w:tr>
      <w:tr w:rsidR="001876F0" w14:paraId="368269A1" w14:textId="77777777"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D41A95" w14:textId="77777777" w:rsidR="001876F0" w:rsidRDefault="001876F0"/>
        </w:tc>
        <w:tc>
          <w:tcPr>
            <w:tcW w:w="5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0C91F5" w14:textId="77777777" w:rsidR="001876F0" w:rsidRDefault="001876F0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836F4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70E50A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0F858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Динамика изменения показателя</w:t>
            </w:r>
          </w:p>
        </w:tc>
      </w:tr>
      <w:tr w:rsidR="001876F0" w14:paraId="01D102EA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1B1A4F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CD13DA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7F732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717AA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7B50A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</w:tr>
      <w:tr w:rsidR="001876F0" w14:paraId="5AC3298E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6976FE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6B9A7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продолжительности прекращений передачи электрической энергии (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52464E1A" wp14:editId="6E2F1233">
                  <wp:extent cx="408305" cy="228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0830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D222B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E4B80A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755178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</w:tr>
      <w:tr w:rsidR="001876F0" w14:paraId="07A081CF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1E18F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AF5553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 (110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 xml:space="preserve"> и выше)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93C7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40E5D1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BD34D4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19763D79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A09F0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022F5B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СН1 (35 - 60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DF7F0A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19795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50450F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2FEB712A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21097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7446FC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СН2 (1 - </w:t>
            </w:r>
            <w:r>
              <w:rPr>
                <w:rFonts w:ascii="Arial" w:hAnsi="Arial"/>
                <w:sz w:val="20"/>
              </w:rPr>
              <w:t xml:space="preserve">20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D412F4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E7F992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5E5B9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5F19288B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61278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366CFE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НН (до 1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0004FF" w14:textId="77777777" w:rsidR="001876F0" w:rsidRDefault="00D50686">
            <w: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CC715F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260EF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08521EB5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353E4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A30535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частоты прекращений передачи электрической энергии (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1EDA2C7C" wp14:editId="32E95190">
                  <wp:extent cx="379095" cy="22860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7909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B8CCE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5B0C7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B7206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</w:tr>
      <w:tr w:rsidR="001876F0" w14:paraId="639F454D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70C704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8FC64F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 (110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 xml:space="preserve"> и выше)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B7A71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91972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5FF0A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3EE0F242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327BA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BDB577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СН1 (35 - 60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7785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FF65FD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F854FB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0D62A53A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BA95F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18AD60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СН2 (1 - 20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C02AFF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3E3A6C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542D81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672B258C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69631C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BF620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НН (до 1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EDF201" w14:textId="77777777" w:rsidR="001876F0" w:rsidRDefault="00D50686">
            <w: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9FC0A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F6BFDB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02A34A3C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4C68C3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5BF92C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Показатель средней </w:t>
            </w:r>
            <w:r>
              <w:rPr>
                <w:rFonts w:ascii="Arial" w:hAnsi="Arial"/>
                <w:sz w:val="20"/>
              </w:rPr>
              <w:t>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3BEAC3D9" wp14:editId="38684110">
                  <wp:extent cx="598170" cy="2381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9817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730266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FCECF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1DA72D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</w:tr>
      <w:tr w:rsidR="001876F0" w14:paraId="07616B8B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638E0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C7F27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 (110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 xml:space="preserve"> и выше)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B6FF7E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4563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1C8D3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6728B41D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6765B3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B55253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СН1 (35 - 60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24333C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CE730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1F41B6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040CF9F3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92A3F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A7FB23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СН2 (1 - 20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5A5C7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99E02D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39F8DD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26EAB6ED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DD9395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73665D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НН (до 1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AD036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825F11" w14:textId="77777777" w:rsidR="001876F0" w:rsidRDefault="00D5068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85D28A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3575E1CE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785DD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B3EBD9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</w:t>
            </w:r>
            <w:r>
              <w:rPr>
                <w:rFonts w:ascii="Arial" w:hAnsi="Arial"/>
                <w:sz w:val="20"/>
              </w:rPr>
              <w:lastRenderedPageBreak/>
              <w:t>владельцев объектов электросетевого хозяйства) (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1294C580" wp14:editId="70698C4D">
                  <wp:extent cx="603250" cy="2381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032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6BC444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5535C7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FCDB4D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</w:tr>
      <w:tr w:rsidR="001876F0" w14:paraId="7C4A5B7E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64649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73DD01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 (110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 xml:space="preserve"> и выше)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F25BA2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241C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12BCF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2AF64763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A4F2EC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4.2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83535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СН1 (35 - 60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EDF43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BDCFA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3D09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6518B362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1D77A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4.3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8447F1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СН2 (1 - 20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C8AF3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F6691C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2B1D87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26353F63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A6B3A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4.4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4713F1" w14:textId="77777777" w:rsidR="001876F0" w:rsidRDefault="00D50686">
            <w:pPr>
              <w:spacing w:after="0" w:line="240" w:lineRule="auto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НН (до 1 </w:t>
            </w:r>
            <w:proofErr w:type="spellStart"/>
            <w:r>
              <w:rPr>
                <w:rFonts w:ascii="Arial" w:hAnsi="Arial"/>
                <w:sz w:val="20"/>
              </w:rPr>
              <w:t>кВ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D4CB3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84951B" w14:textId="77777777" w:rsidR="001876F0" w:rsidRDefault="00D5068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591987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6FBEEB63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CD8FA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0CFFF0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Количество случаев нарушения качества электрической энергии, подтвержденных актами контролирующих организаций и (или) решениями суда, </w:t>
            </w:r>
            <w:r>
              <w:rPr>
                <w:rFonts w:ascii="Arial" w:hAnsi="Arial"/>
                <w:sz w:val="20"/>
              </w:rPr>
              <w:t>штуки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C38735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26E11D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96B587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 w:rsidR="001876F0" w14:paraId="284AA312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59172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5.1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8D84E" w14:textId="77777777" w:rsidR="001876F0" w:rsidRDefault="00D50686">
            <w:pPr>
              <w:spacing w:after="0" w:line="24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EEC39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E90FE9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14493D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</w:tbl>
    <w:p w14:paraId="525EB152" w14:textId="77777777" w:rsidR="001876F0" w:rsidRDefault="001876F0">
      <w:pPr>
        <w:sectPr w:rsidR="001876F0">
          <w:pgSz w:w="11906" w:h="16838"/>
          <w:pgMar w:top="1440" w:right="567" w:bottom="1440" w:left="1134" w:header="0" w:footer="0" w:gutter="0"/>
          <w:cols w:space="720"/>
        </w:sectPr>
      </w:pPr>
    </w:p>
    <w:p w14:paraId="15C57115" w14:textId="77777777" w:rsidR="001876F0" w:rsidRDefault="00D50686">
      <w:pPr>
        <w:spacing w:after="0" w:line="240" w:lineRule="auto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2.2. Рейтинг </w:t>
      </w:r>
      <w:r>
        <w:rPr>
          <w:rFonts w:ascii="Arial" w:hAnsi="Arial"/>
          <w:sz w:val="20"/>
        </w:rPr>
        <w:t>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 w14:paraId="528FE162" w14:textId="77777777" w:rsidR="001876F0" w:rsidRDefault="001876F0">
      <w:pPr>
        <w:spacing w:after="0" w:line="240" w:lineRule="auto"/>
        <w:jc w:val="both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461"/>
        <w:gridCol w:w="566"/>
        <w:gridCol w:w="566"/>
        <w:gridCol w:w="567"/>
        <w:gridCol w:w="566"/>
        <w:gridCol w:w="567"/>
        <w:gridCol w:w="566"/>
        <w:gridCol w:w="567"/>
        <w:gridCol w:w="566"/>
        <w:gridCol w:w="566"/>
        <w:gridCol w:w="567"/>
        <w:gridCol w:w="566"/>
        <w:gridCol w:w="567"/>
        <w:gridCol w:w="566"/>
        <w:gridCol w:w="567"/>
        <w:gridCol w:w="566"/>
        <w:gridCol w:w="670"/>
        <w:gridCol w:w="2273"/>
        <w:gridCol w:w="1701"/>
      </w:tblGrid>
      <w:tr w:rsidR="001876F0" w14:paraId="7B16DBEF" w14:textId="77777777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C653A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8317F5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Структурная единица сетевой организации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3B158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Показатель средней </w:t>
            </w:r>
            <w:r>
              <w:rPr>
                <w:rFonts w:ascii="Arial" w:hAnsi="Arial"/>
                <w:sz w:val="20"/>
              </w:rPr>
              <w:t>продолжительности прекращений передачи электрической энергии, 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1C3846C8" wp14:editId="36003435">
                  <wp:extent cx="408305" cy="228600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0830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B4C75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частоты прекращений передачи электрической энергии, </w:t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40DFAF05" wp14:editId="604A1D85">
                  <wp:extent cx="379095" cy="228600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7909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4F0C9F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средней продолжительности прекращений передачи электрической энергии, связанных с проведением ремонтных рабо</w:t>
            </w:r>
            <w:r>
              <w:rPr>
                <w:rFonts w:ascii="Arial" w:hAnsi="Arial"/>
                <w:sz w:val="20"/>
              </w:rPr>
              <w:t>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14:paraId="61A4115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165B54D4" wp14:editId="48D216DE">
                  <wp:extent cx="598170" cy="238125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9817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393D4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Показатель средней частоты прекращений передачи электрической энергии, связанных с проведением ремонтных работ </w:t>
            </w:r>
            <w:r>
              <w:rPr>
                <w:rFonts w:ascii="Arial" w:hAnsi="Arial"/>
                <w:sz w:val="20"/>
              </w:rPr>
              <w:t>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14:paraId="24F1638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 wp14:anchorId="3EC411EC" wp14:editId="02F06B52">
                  <wp:extent cx="603250" cy="23812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032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84007E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Показатель качества оказания услуг по передаче электрической энергии (отношение общего числа зарегистрированных с</w:t>
            </w:r>
            <w:r>
              <w:rPr>
                <w:rFonts w:ascii="Arial" w:hAnsi="Arial"/>
                <w:sz w:val="20"/>
              </w:rPr>
              <w:t>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13C26E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Планируемые мероприятия, направленные на повышение качеств</w:t>
            </w:r>
            <w:r>
              <w:rPr>
                <w:rFonts w:ascii="Arial" w:hAnsi="Arial"/>
                <w:sz w:val="20"/>
              </w:rPr>
              <w:t>а оказания услуг по передаче электроэнергии, с указанием сроков</w:t>
            </w:r>
          </w:p>
        </w:tc>
      </w:tr>
      <w:tr w:rsidR="001876F0" w14:paraId="332CE309" w14:textId="77777777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006845" w14:textId="77777777" w:rsidR="001876F0" w:rsidRDefault="001876F0"/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ACF011" w14:textId="77777777" w:rsidR="001876F0" w:rsidRDefault="001876F0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827D3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A73F0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0E604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90766F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C56B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3794E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752E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13651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1A1E03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FE403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F16F3E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457664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DB9E24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4E8D5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9025C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СН2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063CD3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НН</w:t>
            </w: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85C51" w14:textId="77777777" w:rsidR="001876F0" w:rsidRDefault="001876F0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DA7E52" w14:textId="77777777" w:rsidR="001876F0" w:rsidRDefault="001876F0"/>
        </w:tc>
      </w:tr>
      <w:tr w:rsidR="001876F0" w14:paraId="66C3CB55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EA28A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7E72E8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0B01E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54C9A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C97B4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8B9B61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D4956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73A37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52D2C7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6CE37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5F883A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F9E8CB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64A33D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D73FCA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B7000D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89BA22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661CD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D2B8D6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09A889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934B7E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</w:t>
            </w:r>
          </w:p>
        </w:tc>
      </w:tr>
      <w:tr w:rsidR="001876F0" w14:paraId="3838455D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5C69F9" w14:textId="77777777" w:rsidR="001876F0" w:rsidRDefault="00D50686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5A1A8B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Всего по сетевой организации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B94354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8C6E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D3808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F5C6FB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DF572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1FA0C7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67C6E2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45CF13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5F93A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D6DA12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78C0A0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829D08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CF0CC1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292194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9FFF7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DD4800" w14:textId="77777777" w:rsidR="001876F0" w:rsidRDefault="00D50686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FF45B" w14:textId="77777777" w:rsidR="001876F0" w:rsidRDefault="00D50686">
            <w:pPr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 Narrow" w:hAnsi="Arial Narrow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DFE0F" w14:textId="77777777" w:rsidR="001876F0" w:rsidRDefault="001876F0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</w:tr>
    </w:tbl>
    <w:p w14:paraId="61C9D84D" w14:textId="77777777" w:rsidR="001876F0" w:rsidRDefault="001876F0">
      <w:pPr>
        <w:spacing w:after="0" w:line="240" w:lineRule="auto"/>
        <w:jc w:val="both"/>
        <w:rPr>
          <w:rFonts w:ascii="Arial" w:hAnsi="Arial"/>
          <w:sz w:val="20"/>
        </w:rPr>
      </w:pPr>
    </w:p>
    <w:p w14:paraId="177BE1CF" w14:textId="77777777" w:rsidR="001876F0" w:rsidRDefault="00D50686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2.3. </w:t>
      </w:r>
      <w:r>
        <w:rPr>
          <w:rFonts w:ascii="Arial" w:hAnsi="Arial"/>
          <w:sz w:val="20"/>
        </w:rPr>
        <w:t>Мероприятия, выполненные сетевой организацией в целях повышения качества оказания услуг по передаче электрической энергии в отчетном периоде:</w:t>
      </w:r>
    </w:p>
    <w:p w14:paraId="069281E4" w14:textId="77777777" w:rsidR="001876F0" w:rsidRDefault="00D50686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В отчетном году для повышения надежности и качества энергоснабжения, удовлетворения растущего спроса населения на </w:t>
      </w:r>
      <w:r>
        <w:rPr>
          <w:rFonts w:ascii="Arial" w:hAnsi="Arial"/>
          <w:sz w:val="20"/>
        </w:rPr>
        <w:t>электроэнергию и обеспечения резервным питанием объектов, подключаемых от сетей ООО «</w:t>
      </w:r>
      <w:proofErr w:type="spellStart"/>
      <w:r>
        <w:rPr>
          <w:rFonts w:ascii="Arial" w:hAnsi="Arial"/>
          <w:sz w:val="20"/>
        </w:rPr>
        <w:t>Северэнерго</w:t>
      </w:r>
      <w:proofErr w:type="spellEnd"/>
      <w:r>
        <w:rPr>
          <w:rFonts w:ascii="Arial" w:hAnsi="Arial"/>
          <w:sz w:val="20"/>
        </w:rPr>
        <w:t>», выполнены следующие работы:</w:t>
      </w:r>
    </w:p>
    <w:p w14:paraId="3D8DCA71" w14:textId="7196DBD3" w:rsidR="001876F0" w:rsidRDefault="00D50686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Выполнено строительство КЛ-6 </w:t>
      </w:r>
      <w:proofErr w:type="spellStart"/>
      <w:r>
        <w:rPr>
          <w:rFonts w:ascii="Arial" w:hAnsi="Arial"/>
          <w:sz w:val="20"/>
        </w:rPr>
        <w:t>кВ</w:t>
      </w:r>
      <w:proofErr w:type="spellEnd"/>
      <w:r>
        <w:rPr>
          <w:rFonts w:ascii="Arial" w:hAnsi="Arial"/>
          <w:sz w:val="20"/>
        </w:rPr>
        <w:t xml:space="preserve"> от ТП-Новые Ивняки до ТП-3 </w:t>
      </w:r>
      <w:proofErr w:type="spellStart"/>
      <w:r>
        <w:rPr>
          <w:rFonts w:ascii="Arial" w:hAnsi="Arial"/>
          <w:sz w:val="20"/>
        </w:rPr>
        <w:t>Ивняковская</w:t>
      </w:r>
      <w:proofErr w:type="spellEnd"/>
      <w:r>
        <w:rPr>
          <w:rFonts w:ascii="Arial" w:hAnsi="Arial"/>
          <w:sz w:val="20"/>
        </w:rPr>
        <w:t xml:space="preserve"> слобода-2 и ТП-2 </w:t>
      </w:r>
      <w:proofErr w:type="spellStart"/>
      <w:r>
        <w:rPr>
          <w:rFonts w:ascii="Arial" w:hAnsi="Arial"/>
          <w:sz w:val="20"/>
        </w:rPr>
        <w:t>Ивняковская</w:t>
      </w:r>
      <w:proofErr w:type="spellEnd"/>
      <w:r>
        <w:rPr>
          <w:rFonts w:ascii="Arial" w:hAnsi="Arial"/>
          <w:sz w:val="20"/>
        </w:rPr>
        <w:t xml:space="preserve"> слобода-1, что в свою очередь</w:t>
      </w:r>
      <w:r>
        <w:rPr>
          <w:rFonts w:ascii="Arial" w:hAnsi="Arial"/>
          <w:sz w:val="20"/>
        </w:rPr>
        <w:t xml:space="preserve"> позволило обеспечить 2-ю категорию надежности для </w:t>
      </w:r>
      <w:r>
        <w:rPr>
          <w:rFonts w:ascii="Arial" w:hAnsi="Arial"/>
          <w:sz w:val="20"/>
        </w:rPr>
        <w:t>потребителей,</w:t>
      </w:r>
      <w:r>
        <w:rPr>
          <w:rFonts w:ascii="Arial" w:hAnsi="Arial"/>
          <w:sz w:val="20"/>
        </w:rPr>
        <w:t xml:space="preserve"> запитанных от данных ТП. </w:t>
      </w:r>
    </w:p>
    <w:p w14:paraId="039C16E3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p w14:paraId="1626C108" w14:textId="77777777" w:rsidR="001876F0" w:rsidRDefault="00D50686">
      <w:pPr>
        <w:pStyle w:val="ConsPlusNormal"/>
        <w:ind w:firstLine="5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2.4. Прочая информация, которую сетевая организация считает целесообразной для включения в отчет, касающаяся качества оказания услуг по передаче </w:t>
      </w:r>
      <w:r>
        <w:rPr>
          <w:rFonts w:ascii="Arial" w:hAnsi="Arial"/>
          <w:sz w:val="20"/>
        </w:rPr>
        <w:t>электрической энергии, отсутствует.</w:t>
      </w:r>
    </w:p>
    <w:p w14:paraId="67C81D15" w14:textId="77777777" w:rsidR="001876F0" w:rsidRDefault="00D50686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14:paraId="03108BEB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p w14:paraId="2CD46F51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p w14:paraId="6CBF5210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p w14:paraId="02BC2647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p w14:paraId="07152C04" w14:textId="77777777" w:rsidR="001876F0" w:rsidRDefault="001876F0">
      <w:pPr>
        <w:spacing w:after="0" w:line="240" w:lineRule="auto"/>
        <w:ind w:firstLine="540"/>
        <w:jc w:val="both"/>
        <w:rPr>
          <w:rFonts w:ascii="Arial" w:hAnsi="Arial"/>
          <w:sz w:val="20"/>
        </w:rPr>
      </w:pPr>
    </w:p>
    <w:sectPr w:rsidR="001876F0">
      <w:pgSz w:w="16838" w:h="11906"/>
      <w:pgMar w:top="568" w:right="1134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6F0"/>
    <w:rsid w:val="001876F0"/>
    <w:rsid w:val="00D5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24574"/>
  <w15:docId w15:val="{B23A1A19-4906-43E2-977F-EB042C93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сновной шрифт абзаца1"/>
    <w:link w:val="a3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17">
    <w:name w:val="Гиперссылка1"/>
    <w:link w:val="a5"/>
    <w:rPr>
      <w:color w:val="0000FF"/>
      <w:u w:val="single"/>
    </w:rPr>
  </w:style>
  <w:style w:type="character" w:styleId="a5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Заголовок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3508</Characters>
  <Application>Microsoft Office Word</Application>
  <DocSecurity>0</DocSecurity>
  <Lines>29</Lines>
  <Paragraphs>8</Paragraphs>
  <ScaleCrop>false</ScaleCrop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2023-03-17T07:24:00Z</dcterms:created>
  <dcterms:modified xsi:type="dcterms:W3CDTF">2023-03-17T07:25:00Z</dcterms:modified>
</cp:coreProperties>
</file>