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C5321" w14:textId="77777777" w:rsidR="00FD6D52" w:rsidRDefault="00785A86">
      <w:pPr>
        <w:pStyle w:val="ConsPlusNormal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3. Информация о качестве услуг</w:t>
      </w:r>
    </w:p>
    <w:p w14:paraId="774E1943" w14:textId="77777777" w:rsidR="00FD6D52" w:rsidRDefault="00785A86">
      <w:pPr>
        <w:pStyle w:val="ConsPlusNormal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по технологическому присоединению</w:t>
      </w:r>
    </w:p>
    <w:p w14:paraId="0A2C1E59" w14:textId="77777777" w:rsidR="00FD6D52" w:rsidRDefault="00FD6D52">
      <w:pPr>
        <w:pStyle w:val="ConsPlusNormal"/>
        <w:jc w:val="center"/>
        <w:rPr>
          <w:rFonts w:ascii="Times New Roman" w:hAnsi="Times New Roman"/>
          <w:b/>
          <w:sz w:val="26"/>
        </w:rPr>
      </w:pPr>
    </w:p>
    <w:p w14:paraId="5994EB50" w14:textId="77777777" w:rsidR="00FD6D52" w:rsidRDefault="00785A86">
      <w:pPr>
        <w:pStyle w:val="ConsPlusNormal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3.1.</w:t>
      </w:r>
      <w:r>
        <w:rPr>
          <w:rFonts w:ascii="Times New Roman" w:hAnsi="Times New Roman"/>
          <w:sz w:val="26"/>
        </w:rPr>
        <w:t xml:space="preserve"> Невостребованная мощность (мощность, определяемая как разность между трансформаторной мощностью центров питания и суммарной мощностью энергопринимающих устройств, непосредственно (или опосредованно) присоединенных к таким центрам питания, и энергопринимающих устройств, в отношении которых имеются заявки на технологическое присоединение) для осуществления технологического присоединения в отчетном периоде отсутствует.</w:t>
      </w:r>
    </w:p>
    <w:p w14:paraId="411431A2" w14:textId="77777777" w:rsidR="00FD6D52" w:rsidRDefault="00FD6D52">
      <w:pPr>
        <w:pStyle w:val="ConsPlusNormal"/>
        <w:jc w:val="both"/>
        <w:rPr>
          <w:rFonts w:ascii="Times New Roman" w:hAnsi="Times New Roman"/>
          <w:sz w:val="26"/>
        </w:rPr>
      </w:pPr>
    </w:p>
    <w:p w14:paraId="3EC0D7F6" w14:textId="77777777" w:rsidR="00FD6D52" w:rsidRDefault="00785A86">
      <w:pPr>
        <w:pStyle w:val="ConsPlusNormal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3.2.</w:t>
      </w:r>
      <w:r>
        <w:rPr>
          <w:rFonts w:ascii="Times New Roman" w:hAnsi="Times New Roman"/>
          <w:sz w:val="26"/>
        </w:rPr>
        <w:t xml:space="preserve"> Мероприятия, выполненные сетевой организацией в целях совершенствования деятельности по технологическому присоединению в отчетном периоде. </w:t>
      </w:r>
    </w:p>
    <w:p w14:paraId="0729D67B" w14:textId="1A992D7D" w:rsidR="00FD6D52" w:rsidRDefault="00785A86">
      <w:pPr>
        <w:pStyle w:val="ConsPlusNormal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рамках совершенствования деятельности по технологическому присоединению в 202</w:t>
      </w:r>
      <w:r w:rsidR="005B6CF4"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 xml:space="preserve"> году ООО «Северэнерго» проведен ряд мероприятий, направленных на сокращение сроков и упрощение процедуры осуществления технологического присоединения:</w:t>
      </w:r>
    </w:p>
    <w:p w14:paraId="6B15E58D" w14:textId="77777777" w:rsidR="00FD6D52" w:rsidRDefault="00785A8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развитие услуги, предусматривающей выполнение сетевой организацией части мероприятий по технологическому присоединению, предписанных заявителю техническими условиями;</w:t>
      </w:r>
    </w:p>
    <w:p w14:paraId="42144D41" w14:textId="77777777" w:rsidR="00FD6D52" w:rsidRDefault="00785A8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размещение информации по услуге технологическое присоединение на сайте компании, касающейся процедуры технологического присоединения и порядку подключения к электрическим сетям;</w:t>
      </w:r>
    </w:p>
    <w:p w14:paraId="1FE49A58" w14:textId="77777777" w:rsidR="00FD6D52" w:rsidRDefault="00785A8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внедрение личного кабинета.</w:t>
      </w:r>
    </w:p>
    <w:p w14:paraId="2001F2BE" w14:textId="77777777" w:rsidR="00FD6D52" w:rsidRDefault="00FD6D52">
      <w:pPr>
        <w:pStyle w:val="ConsPlusNormal"/>
        <w:ind w:firstLine="540"/>
        <w:jc w:val="both"/>
        <w:rPr>
          <w:rFonts w:ascii="Times New Roman" w:hAnsi="Times New Roman"/>
          <w:sz w:val="26"/>
        </w:rPr>
      </w:pPr>
    </w:p>
    <w:p w14:paraId="05CA3586" w14:textId="77777777" w:rsidR="00FD6D52" w:rsidRDefault="00785A86">
      <w:pPr>
        <w:pStyle w:val="ConsPlusNormal"/>
        <w:ind w:firstLine="540"/>
        <w:jc w:val="both"/>
        <w:rPr>
          <w:rFonts w:ascii="Times New Roman" w:hAnsi="Times New Roman"/>
          <w:i/>
          <w:sz w:val="26"/>
        </w:rPr>
      </w:pPr>
      <w:r>
        <w:rPr>
          <w:rFonts w:ascii="Times New Roman" w:hAnsi="Times New Roman"/>
          <w:b/>
          <w:sz w:val="26"/>
        </w:rPr>
        <w:t>3.3.</w:t>
      </w:r>
      <w:r>
        <w:rPr>
          <w:rFonts w:ascii="Times New Roman" w:hAnsi="Times New Roman"/>
          <w:sz w:val="26"/>
        </w:rPr>
        <w:t xml:space="preserve"> Прочая информация, которую сетевая организация считает целесообразной для включения в отчет, касающаяся предоставления услуг по технологическому присоединению, заполняется в произвольной форме, отсутствует</w:t>
      </w:r>
      <w:r>
        <w:rPr>
          <w:rFonts w:ascii="Times New Roman" w:hAnsi="Times New Roman"/>
          <w:i/>
          <w:sz w:val="26"/>
        </w:rPr>
        <w:t>.</w:t>
      </w:r>
    </w:p>
    <w:p w14:paraId="397408A2" w14:textId="77777777" w:rsidR="00FD6D52" w:rsidRDefault="00FD6D52">
      <w:pPr>
        <w:pStyle w:val="ConsPlusNormal"/>
        <w:ind w:firstLine="540"/>
        <w:jc w:val="both"/>
        <w:rPr>
          <w:rFonts w:ascii="Times New Roman" w:hAnsi="Times New Roman"/>
          <w:i/>
          <w:sz w:val="26"/>
        </w:rPr>
      </w:pPr>
    </w:p>
    <w:p w14:paraId="337BF61C" w14:textId="77777777" w:rsidR="00FD6D52" w:rsidRDefault="00785A86">
      <w:pPr>
        <w:pStyle w:val="ConsPlusNormal"/>
        <w:ind w:firstLine="540"/>
        <w:jc w:val="both"/>
        <w:rPr>
          <w:rFonts w:ascii="Times New Roman" w:hAnsi="Times New Roman"/>
          <w:sz w:val="26"/>
        </w:rPr>
      </w:pPr>
      <w:r>
        <w:rPr>
          <w:rFonts w:ascii="PT Serif" w:hAnsi="PT Serif"/>
          <w:b/>
          <w:color w:val="464C55"/>
          <w:highlight w:val="white"/>
        </w:rPr>
        <w:t>3.5.</w:t>
      </w:r>
      <w:r>
        <w:rPr>
          <w:rFonts w:ascii="PT Serif" w:hAnsi="PT Serif"/>
          <w:color w:val="464C55"/>
          <w:highlight w:val="white"/>
        </w:rPr>
        <w:t xml:space="preserve"> Стоимость технологического присоединения к электрическим сетям сетевой организации.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8"/>
        <w:gridCol w:w="1779"/>
        <w:gridCol w:w="1050"/>
        <w:gridCol w:w="653"/>
        <w:gridCol w:w="606"/>
        <w:gridCol w:w="675"/>
        <w:gridCol w:w="618"/>
        <w:gridCol w:w="561"/>
        <w:gridCol w:w="618"/>
        <w:gridCol w:w="561"/>
        <w:gridCol w:w="632"/>
      </w:tblGrid>
      <w:tr w:rsidR="00FD6D52" w14:paraId="4DDAA23A" w14:textId="77777777">
        <w:trPr>
          <w:tblHeader/>
        </w:trPr>
        <w:tc>
          <w:tcPr>
            <w:tcW w:w="49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59D600C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Мощность энергопринимающих устройств заявителя, кВт</w:t>
            </w:r>
          </w:p>
        </w:tc>
        <w:tc>
          <w:tcPr>
            <w:tcW w:w="125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17A77F6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15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258FCC6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150</w:t>
            </w:r>
          </w:p>
        </w:tc>
        <w:tc>
          <w:tcPr>
            <w:tcW w:w="117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AE5FAB1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250</w:t>
            </w:r>
          </w:p>
        </w:tc>
        <w:tc>
          <w:tcPr>
            <w:tcW w:w="119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3CF2C12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670</w:t>
            </w:r>
          </w:p>
        </w:tc>
      </w:tr>
      <w:tr w:rsidR="00FD6D52" w14:paraId="5F8440BD" w14:textId="77777777">
        <w:trPr>
          <w:tblHeader/>
        </w:trPr>
        <w:tc>
          <w:tcPr>
            <w:tcW w:w="494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78E764B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Категория надежности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F5CF251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I-II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BC8C372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III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FFEEB31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I-II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1919D87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III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A551F01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I-II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E9356D6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III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57711AE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I-II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3EE140F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III</w:t>
            </w:r>
          </w:p>
        </w:tc>
      </w:tr>
      <w:tr w:rsidR="00FD6D52" w14:paraId="2D82531A" w14:textId="77777777">
        <w:trPr>
          <w:tblHeader/>
        </w:trPr>
        <w:tc>
          <w:tcPr>
            <w:tcW w:w="2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FB482D3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Расстояние до границ земельного участка заявителя, м</w:t>
            </w:r>
          </w:p>
        </w:tc>
        <w:tc>
          <w:tcPr>
            <w:tcW w:w="17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B0BD5A1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Необходимость строительства подстанции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00F80CB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Тип линии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DCCB69A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185F707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B62B384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48D9F0D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81B963B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55F2D7A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F606535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0176B75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</w:tr>
      <w:tr w:rsidR="00FD6D52" w14:paraId="0A293769" w14:textId="77777777">
        <w:trPr>
          <w:trHeight w:val="163"/>
        </w:trPr>
        <w:tc>
          <w:tcPr>
            <w:tcW w:w="21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BBADFFD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500 - сельская местность/</w:t>
            </w:r>
          </w:p>
          <w:p w14:paraId="4B2FDB0E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300 - городская местность</w:t>
            </w:r>
          </w:p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5F38287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Да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9E331BC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BF7D81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E296ED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68E7724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27D60B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EF5297F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E45CA4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66DB0C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9248C5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0FB3713C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A3F5B08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944256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1C19D75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C25E8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AB156C2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05A11A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A6481A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CCE7D71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8AF447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6E2A982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08D81A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06AF98DA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20BB98D" w14:textId="77777777" w:rsidR="00FD6D52" w:rsidRDefault="00FD6D52"/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6DA3D40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Нет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D6C90CC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8FBC611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DEA397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DAC5CE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8750AB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D2917E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C86B15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64E27E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F5DA5D4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5D7C8D43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98786B7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F47D1B3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144BB37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4CED1C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D52538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A5B22A1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54C6A5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F99062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C8E62A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D6C9CD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ACA49C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06CDAA76" w14:textId="77777777">
        <w:tc>
          <w:tcPr>
            <w:tcW w:w="21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E4431DD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750</w:t>
            </w:r>
          </w:p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9399BB0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Да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21695D0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77E357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FD5D51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95CE2C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B746C5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C6E32F4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AA5AE8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126576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6F4C24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6824EB7D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1118BB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9EE89AF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F24F0EA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73B220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295BC1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55D8BC2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0C75D4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B534C4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5A242E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CEE0644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27330D4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66E559E0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B6AF645" w14:textId="77777777" w:rsidR="00FD6D52" w:rsidRDefault="00FD6D52"/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176A96F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Нет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04EBE3F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7E5563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428A344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60C3F2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EDF474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6BF658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7A614D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979D25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18859B0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7DC81089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7B5D546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5C396C6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7C1A8D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31346E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594B250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489741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8377CB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3B80A3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66DA1DF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6E7CE70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5E7843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64C15669" w14:textId="77777777">
        <w:tc>
          <w:tcPr>
            <w:tcW w:w="21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F2F60CF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1000</w:t>
            </w:r>
          </w:p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7A1EDF1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Да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A32236B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085BD2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5B64F9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E194121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9E47BEF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D735DB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DDED97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948CB7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8B1B6DF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4DF8FDB3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81CEC55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8A37230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1607832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CF0116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0D92E6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6D715C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46AD7F1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1EB2D4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6354992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554503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E96103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20A33E20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4298F32" w14:textId="77777777" w:rsidR="00FD6D52" w:rsidRDefault="00FD6D52"/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96762D5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Нет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E474DE8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084B6E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E691B2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14458B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60CA712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E722CA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D28486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D6E7EA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2FE4B7F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1BDC8086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1931630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2C6EAA1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4240F5C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66E136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7EB9EE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53CC6A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79D1B3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1297860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EFBD6A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E66FEC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0496CB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285870CE" w14:textId="77777777">
        <w:tc>
          <w:tcPr>
            <w:tcW w:w="21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53B5890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1250</w:t>
            </w:r>
          </w:p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0C18A45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Да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E23995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0C7CBA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DD297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E8D71C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352E98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ED60B7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48337EF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905CC5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E7C79C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5E3973F3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3EC5A70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D565F17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58ADE7A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B85E88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B3666C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1118AC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905CDC2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EB360A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2906E1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9DD4141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81D119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72727BC1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D2208CB" w14:textId="77777777" w:rsidR="00FD6D52" w:rsidRDefault="00FD6D52"/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DB83393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Нет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E9F9AD2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C032D0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0E41F7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A99019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ADF998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F11EAC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D6864C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8EEFEA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3AB6C9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1B52936F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D028836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5304513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7D6D25A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750A87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C5C2BB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70695D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2AF9BD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5FA8A9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7A42DA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079501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9026110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</w:tbl>
    <w:p w14:paraId="49EEBD06" w14:textId="0791EF74" w:rsidR="00FD6D52" w:rsidRDefault="00785A86">
      <w:pPr>
        <w:pStyle w:val="ConsPlusNormal"/>
        <w:jc w:val="both"/>
        <w:rPr>
          <w:rFonts w:ascii="PT Serif" w:hAnsi="PT Serif"/>
          <w:color w:val="464C55"/>
          <w:highlight w:val="white"/>
        </w:rPr>
      </w:pPr>
      <w:r>
        <w:rPr>
          <w:rFonts w:ascii="Times New Roman" w:hAnsi="Times New Roman"/>
          <w:sz w:val="26"/>
        </w:rPr>
        <w:t xml:space="preserve">* </w:t>
      </w:r>
      <w:r>
        <w:rPr>
          <w:rFonts w:ascii="PT Serif" w:hAnsi="PT Serif"/>
          <w:color w:val="464C55"/>
          <w:highlight w:val="white"/>
        </w:rPr>
        <w:t xml:space="preserve">Стоимость технологического присоединения к электрическим сетям </w:t>
      </w:r>
      <w:r>
        <w:br/>
      </w:r>
      <w:r>
        <w:rPr>
          <w:rFonts w:ascii="PT Serif" w:hAnsi="PT Serif"/>
          <w:color w:val="464C55"/>
          <w:highlight w:val="white"/>
        </w:rPr>
        <w:t>ООО «Северэнерго» в 202</w:t>
      </w:r>
      <w:r w:rsidR="005B6CF4">
        <w:rPr>
          <w:rFonts w:ascii="PT Serif" w:hAnsi="PT Serif"/>
          <w:color w:val="464C55"/>
          <w:highlight w:val="white"/>
        </w:rPr>
        <w:t>3</w:t>
      </w:r>
      <w:r>
        <w:rPr>
          <w:rFonts w:ascii="PT Serif" w:hAnsi="PT Serif"/>
          <w:color w:val="464C55"/>
          <w:highlight w:val="white"/>
        </w:rPr>
        <w:t xml:space="preserve"> году определяется в соответствии с </w:t>
      </w:r>
      <w:r>
        <w:rPr>
          <w:rStyle w:val="ConsPlusNormal0"/>
          <w:rFonts w:ascii="PT Serif" w:hAnsi="PT Serif"/>
          <w:color w:val="464C55"/>
          <w:highlight w:val="white"/>
        </w:rPr>
        <w:t>приказом ДРТ ЯО от 29.11.2022 № 363-стс «Об утверждении стандартизированных тарифных ставок и ставок за единицу максимальной мощности для расчета платы за технологическое присоединение к электрическим сетям территориальных сетевых организаций на территории Ярославской области на 2023 год»</w:t>
      </w:r>
      <w:r w:rsidR="005B6CF4">
        <w:rPr>
          <w:rStyle w:val="ConsPlusNormal0"/>
          <w:rFonts w:ascii="PT Serif" w:hAnsi="PT Serif"/>
          <w:color w:val="464C55"/>
          <w:highlight w:val="white"/>
        </w:rPr>
        <w:t>.</w:t>
      </w:r>
    </w:p>
    <w:p w14:paraId="66D675C1" w14:textId="77777777" w:rsidR="00FD6D52" w:rsidRDefault="00FD6D52">
      <w:pPr>
        <w:pStyle w:val="ConsPlusNormal"/>
        <w:jc w:val="both"/>
        <w:rPr>
          <w:rFonts w:ascii="PT Serif" w:hAnsi="PT Serif"/>
          <w:color w:val="464C55"/>
          <w:highlight w:val="white"/>
        </w:rPr>
      </w:pPr>
    </w:p>
    <w:p w14:paraId="4C706081" w14:textId="77777777" w:rsidR="00FD6D52" w:rsidRDefault="00FD6D52">
      <w:pPr>
        <w:pStyle w:val="ConsPlusNormal"/>
        <w:jc w:val="both"/>
        <w:rPr>
          <w:rFonts w:ascii="Times New Roman" w:hAnsi="Times New Roman"/>
          <w:sz w:val="26"/>
        </w:rPr>
      </w:pPr>
    </w:p>
    <w:p w14:paraId="0E330437" w14:textId="77777777" w:rsidR="00FD6D52" w:rsidRDefault="00FD6D52">
      <w:pPr>
        <w:pStyle w:val="ConsPlusNormal"/>
        <w:jc w:val="both"/>
        <w:rPr>
          <w:rFonts w:ascii="Times New Roman" w:hAnsi="Times New Roman"/>
          <w:sz w:val="26"/>
        </w:rPr>
      </w:pPr>
    </w:p>
    <w:p w14:paraId="5635732B" w14:textId="77777777" w:rsidR="00FD6D52" w:rsidRDefault="00FD6D52">
      <w:pPr>
        <w:pStyle w:val="ConsPlusNormal"/>
        <w:jc w:val="both"/>
        <w:rPr>
          <w:rFonts w:ascii="Times New Roman" w:hAnsi="Times New Roman"/>
          <w:sz w:val="26"/>
        </w:rPr>
      </w:pPr>
    </w:p>
    <w:p w14:paraId="5B901382" w14:textId="77777777" w:rsidR="00FD6D52" w:rsidRDefault="00FD6D52">
      <w:pPr>
        <w:pStyle w:val="ConsPlusNormal"/>
        <w:jc w:val="both"/>
        <w:rPr>
          <w:rFonts w:ascii="Times New Roman" w:hAnsi="Times New Roman"/>
          <w:sz w:val="26"/>
        </w:rPr>
      </w:pPr>
    </w:p>
    <w:sectPr w:rsidR="00FD6D52">
      <w:pgSz w:w="11905" w:h="16838"/>
      <w:pgMar w:top="1134" w:right="848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313B0"/>
    <w:multiLevelType w:val="multilevel"/>
    <w:tmpl w:val="14D23A36"/>
    <w:lvl w:ilvl="0">
      <w:start w:val="1"/>
      <w:numFmt w:val="bullet"/>
      <w:lvlText w:val=""/>
      <w:lvlJc w:val="left"/>
      <w:pPr>
        <w:ind w:left="27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4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42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9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6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63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70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8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8531" w:hanging="360"/>
      </w:pPr>
      <w:rPr>
        <w:rFonts w:ascii="Wingdings" w:hAnsi="Wingdings"/>
      </w:rPr>
    </w:lvl>
  </w:abstractNum>
  <w:num w:numId="1" w16cid:durableId="100617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D52"/>
    <w:rsid w:val="005B6CF4"/>
    <w:rsid w:val="00785A86"/>
    <w:rsid w:val="00FD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7F3FE"/>
  <w15:docId w15:val="{4CF21A81-4A27-42CF-96EF-F5B01EBB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6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Cell0">
    <w:name w:val="ConsPlusCell"/>
    <w:link w:val="ConsPlusCell"/>
    <w:rPr>
      <w:rFonts w:ascii="Courier New" w:hAnsi="Courier New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Интернет) Знак"/>
    <w:basedOn w:val="1"/>
    <w:link w:val="a3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List Paragraph"/>
    <w:basedOn w:val="a"/>
    <w:link w:val="a6"/>
    <w:pPr>
      <w:ind w:left="720"/>
      <w:contextualSpacing/>
    </w:pPr>
    <w:rPr>
      <w:rFonts w:ascii="Calibri" w:hAnsi="Calibri"/>
    </w:rPr>
  </w:style>
  <w:style w:type="character" w:customStyle="1" w:styleId="a6">
    <w:name w:val="Абзац списка Знак"/>
    <w:basedOn w:val="1"/>
    <w:link w:val="a5"/>
    <w:rPr>
      <w:rFonts w:ascii="Calibri" w:hAnsi="Calibri"/>
    </w:rPr>
  </w:style>
  <w:style w:type="paragraph" w:customStyle="1" w:styleId="ConsPlusJurTerm">
    <w:name w:val="ConsPlusJurTerm"/>
    <w:link w:val="ConsPlusJurTerm0"/>
    <w:pPr>
      <w:widowControl w:val="0"/>
      <w:spacing w:after="0" w:line="240" w:lineRule="auto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6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DocList">
    <w:name w:val="ConsPlusDocList"/>
    <w:link w:val="ConsPlusDocLis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DocList0">
    <w:name w:val="ConsPlusDocList"/>
    <w:link w:val="ConsPlusDocList"/>
    <w:rPr>
      <w:rFonts w:ascii="Courier New" w:hAnsi="Courier New"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Title"/>
    <w:next w:val="a"/>
    <w:link w:val="ab"/>
    <w:uiPriority w:val="10"/>
    <w:qFormat/>
    <w:rPr>
      <w:rFonts w:ascii="XO Thames" w:hAnsi="XO Thames"/>
      <w:b/>
      <w:sz w:val="52"/>
    </w:rPr>
  </w:style>
  <w:style w:type="character" w:customStyle="1" w:styleId="ab">
    <w:name w:val="Заголовок Знак"/>
    <w:link w:val="a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Энерго Север</cp:lastModifiedBy>
  <cp:revision>3</cp:revision>
  <dcterms:created xsi:type="dcterms:W3CDTF">2023-03-13T13:39:00Z</dcterms:created>
  <dcterms:modified xsi:type="dcterms:W3CDTF">2024-03-06T12:45:00Z</dcterms:modified>
</cp:coreProperties>
</file>